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7079" w14:textId="30A93CB0" w:rsidR="00D9157E" w:rsidRPr="00D9157E" w:rsidRDefault="00D9157E" w:rsidP="00D9157E">
      <w:pPr>
        <w:pStyle w:val="font7"/>
        <w:spacing w:before="0" w:beforeAutospacing="0" w:after="0" w:afterAutospacing="0"/>
        <w:textAlignment w:val="baseline"/>
        <w:rPr>
          <w:b/>
          <w:bCs/>
          <w:color w:val="2F2E2E"/>
          <w:bdr w:val="none" w:sz="0" w:space="0" w:color="auto" w:frame="1"/>
        </w:rPr>
      </w:pPr>
      <w:proofErr w:type="spellStart"/>
      <w:r w:rsidRPr="00D9157E">
        <w:rPr>
          <w:b/>
          <w:bCs/>
          <w:color w:val="2F2E2E"/>
          <w:bdr w:val="none" w:sz="0" w:space="0" w:color="auto" w:frame="1"/>
        </w:rPr>
        <w:t>Cherissia</w:t>
      </w:r>
      <w:proofErr w:type="spellEnd"/>
      <w:r w:rsidRPr="00D9157E">
        <w:rPr>
          <w:b/>
          <w:bCs/>
          <w:color w:val="2F2E2E"/>
          <w:bdr w:val="none" w:sz="0" w:space="0" w:color="auto" w:frame="1"/>
        </w:rPr>
        <w:t xml:space="preserve"> Williams</w:t>
      </w:r>
    </w:p>
    <w:p w14:paraId="411145D3" w14:textId="76C8546C" w:rsidR="00084B18" w:rsidRPr="00084B18" w:rsidRDefault="00084B18" w:rsidP="00084B18">
      <w:pPr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</w:pP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ab/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Born in the island of Trinidad and Tobago, Brooklyn raised Soprano </w:t>
      </w:r>
      <w:proofErr w:type="spell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Cherissia</w:t>
      </w:r>
      <w:proofErr w:type="spell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Williams is a Professional Studies &amp; Master’s Degree graduate from Manhattan School of Music. This season she sung the role of the First Lady in Once </w:t>
      </w:r>
      <w:proofErr w:type="gram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Upon</w:t>
      </w:r>
      <w:proofErr w:type="gram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an Opera’s production of 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The Magic Flute.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Previous credits include the Dew Fairy in Once Upon an Opera’s production of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 Hansel and Gretel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, the chorus of The Martina Arroyo Foundation’s Prelude to Performance production of 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Carmen,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 Sister Constance in the Midwest Institute of Opera’s production of 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Dialogues of the Carmelites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, 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Hansel </w:t>
      </w:r>
      <w:proofErr w:type="spellStart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und</w:t>
      </w:r>
      <w:proofErr w:type="spellEnd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 Gretel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 (Dew Fairy) with Manhattan School of Music,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 A Midsummer Night’s Dream 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(</w:t>
      </w:r>
      <w:proofErr w:type="spell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Peaseblossom</w:t>
      </w:r>
      <w:proofErr w:type="spell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) with the Westminster Choir College Opera Theater, 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Nine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 (Our Lady of the Spa) with the Westminster Players and 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The Gondoliers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 (Giulia) with the </w:t>
      </w:r>
      <w:proofErr w:type="spell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Fiorello</w:t>
      </w:r>
      <w:proofErr w:type="spell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H. LaGuardia H.S. Opera Workshop. Scene work includes 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Le </w:t>
      </w:r>
      <w:proofErr w:type="spellStart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nozze</w:t>
      </w:r>
      <w:proofErr w:type="spellEnd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 di Figaro 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(Contessa) with Opera Viva, 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 xml:space="preserve">Die </w:t>
      </w:r>
      <w:proofErr w:type="spellStart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Zauberflöte</w:t>
      </w:r>
      <w:proofErr w:type="spell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 (</w:t>
      </w:r>
      <w:proofErr w:type="spell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Knabe</w:t>
      </w:r>
      <w:proofErr w:type="spell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2), and </w:t>
      </w:r>
      <w:proofErr w:type="spellStart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Lakmé</w:t>
      </w:r>
      <w:proofErr w:type="spellEnd"/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 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(Malika) with the New York Summer Opera Scenes. </w:t>
      </w:r>
    </w:p>
    <w:p w14:paraId="4EB0782F" w14:textId="6D54ED9E" w:rsidR="00084B18" w:rsidRPr="00084B18" w:rsidRDefault="00084B18" w:rsidP="0007773A">
      <w:pPr>
        <w:ind w:firstLine="720"/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</w:pP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Ms. Williams has performed as a soloist in major works such as Poulenc’s 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Gloria</w:t>
      </w:r>
      <w:proofErr w:type="gram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,</w:t>
      </w:r>
      <w:proofErr w:type="gram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br/>
        <w:t xml:space="preserve">Mendelssohn’s 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Elijah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, and Dubois’ </w:t>
      </w:r>
      <w:r w:rsidRPr="00084B18">
        <w:rPr>
          <w:rFonts w:ascii="Times New Roman" w:eastAsia="Times New Roman" w:hAnsi="Times New Roman" w:cs="Times New Roman"/>
          <w:i/>
          <w:iCs/>
          <w:color w:val="2F2E2E"/>
          <w:sz w:val="24"/>
          <w:szCs w:val="24"/>
          <w:bdr w:val="none" w:sz="0" w:space="0" w:color="auto" w:frame="1"/>
        </w:rPr>
        <w:t>The Last Seven Words of Christ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. In addition to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br/>
        <w:t xml:space="preserve">singing, she is </w:t>
      </w:r>
      <w:r w:rsidR="0007773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a volunteer artist for Sing for Hope, 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one of the owners of </w:t>
      </w:r>
      <w:r w:rsidR="001936C3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T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he Sparkle Twins</w:t>
      </w:r>
      <w:r w:rsidR="0007773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,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and is the </w:t>
      </w:r>
      <w:r w:rsidR="001936C3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former 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Director of Amateur Licensing for Broadway Licensing. Ms. Williams is also a professional commercial and print model. She most recently starred in the national Verizon Holiday commercial along with her identical twin sister. </w:t>
      </w:r>
      <w:proofErr w:type="gramStart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Which received over 2 million views worldwide.</w:t>
      </w:r>
      <w:proofErr w:type="gramEnd"/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Ms. Williams holds a Bachelor of Music degree in Voi</w:t>
      </w:r>
      <w:r w:rsidR="001936C3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>ce Performance from Westminster</w:t>
      </w:r>
      <w:r w:rsidR="001936C3"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Choir</w:t>
      </w:r>
      <w:r w:rsidRPr="00084B18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</w:rPr>
        <w:t xml:space="preserve"> College.</w:t>
      </w:r>
    </w:p>
    <w:p w14:paraId="1E79A915" w14:textId="3476FBB1" w:rsidR="009D497F" w:rsidRDefault="009D497F"/>
    <w:p w14:paraId="53A27ECE" w14:textId="1BE785F2" w:rsidR="00D9157E" w:rsidRDefault="00D9157E"/>
    <w:p w14:paraId="53DDDB19" w14:textId="1E2E331F" w:rsidR="00D9157E" w:rsidRPr="0025222C" w:rsidRDefault="005E7355" w:rsidP="00D9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bookmarkStart w:id="0" w:name="_GoBack"/>
      <w:bookmarkEnd w:id="0"/>
      <w:r w:rsidR="00D9157E">
        <w:rPr>
          <w:rFonts w:ascii="Times New Roman" w:hAnsi="Times New Roman" w:cs="Times New Roman"/>
          <w:sz w:val="24"/>
          <w:szCs w:val="24"/>
        </w:rPr>
        <w:t xml:space="preserve"> 27, 202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C0A57FA" w14:textId="77777777" w:rsidR="00D9157E" w:rsidRDefault="00D9157E"/>
    <w:sectPr w:rsidR="00D9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9"/>
    <w:rsid w:val="0007773A"/>
    <w:rsid w:val="00084B18"/>
    <w:rsid w:val="000E2E4D"/>
    <w:rsid w:val="001936C3"/>
    <w:rsid w:val="005E7355"/>
    <w:rsid w:val="006B7B57"/>
    <w:rsid w:val="009D497F"/>
    <w:rsid w:val="00A21029"/>
    <w:rsid w:val="00BB076A"/>
    <w:rsid w:val="00BD2D18"/>
    <w:rsid w:val="00D9157E"/>
    <w:rsid w:val="00E74E73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7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21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21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Kerlan</dc:creator>
  <cp:lastModifiedBy>Kerlan</cp:lastModifiedBy>
  <cp:revision>13</cp:revision>
  <dcterms:created xsi:type="dcterms:W3CDTF">2019-12-02T01:27:00Z</dcterms:created>
  <dcterms:modified xsi:type="dcterms:W3CDTF">2021-09-16T22:59:00Z</dcterms:modified>
</cp:coreProperties>
</file>